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06" w:rsidRPr="00906C4F" w:rsidRDefault="00C83906" w:rsidP="00C839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 </w:t>
      </w:r>
      <w:r w:rsidRPr="00906C4F">
        <w:rPr>
          <w:rFonts w:eastAsia="Calibri"/>
          <w:b/>
          <w:szCs w:val="28"/>
          <w:lang w:eastAsia="en-US"/>
        </w:rPr>
        <w:t>Целевые значения критериев доступности и качества</w:t>
      </w:r>
    </w:p>
    <w:p w:rsidR="00C83906" w:rsidRPr="00906C4F" w:rsidRDefault="00C83906" w:rsidP="00C8390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906C4F">
        <w:rPr>
          <w:rFonts w:eastAsia="Calibri"/>
          <w:b/>
          <w:szCs w:val="28"/>
          <w:lang w:eastAsia="en-US"/>
        </w:rPr>
        <w:t>медицинской помощи, оказываемой в рамках Программы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Целевые значения критериев доступности и качества медицинской помощи, оказываемой в рамках Программы: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удовлетворенность населения медицинской помощью, в том числе городского, сельского населения (процентов от числа опрошенных), 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> 46%;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смертность населения, в том числе городского, сельского населения (число умерших на 1000 человек населения), </w:t>
      </w:r>
      <w:bookmarkStart w:id="0" w:name="_GoBack"/>
      <w:bookmarkEnd w:id="0"/>
      <w:r w:rsidRPr="008B46BE">
        <w:rPr>
          <w:rFonts w:eastAsia="Calibri"/>
          <w:szCs w:val="28"/>
          <w:lang w:eastAsia="en-US"/>
        </w:rPr>
        <w:noBreakHyphen/>
        <w:t> 12,8;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3)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населения), 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> 732,5;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4)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населения), </w:t>
      </w:r>
      <w:r w:rsidRPr="008B46BE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8B46BE">
        <w:rPr>
          <w:rFonts w:eastAsia="Calibri"/>
          <w:szCs w:val="28"/>
          <w:lang w:eastAsia="en-US"/>
        </w:rPr>
        <w:t>205,2;</w:t>
      </w:r>
      <w:proofErr w:type="gramEnd"/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5)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смертность населения от туберкулеза, в том числе городского, сельского населения (случаев на 100 тыс. человек населения), 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> 21,0;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6)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смертность населения в трудоспособном возрасте (число умерших в трудоспособном возрасте на 100 тыс. человек населения) </w:t>
      </w:r>
      <w:r w:rsidRPr="008B46BE">
        <w:rPr>
          <w:rFonts w:eastAsia="Calibri"/>
          <w:szCs w:val="28"/>
          <w:lang w:eastAsia="en-US"/>
        </w:rPr>
        <w:noBreakHyphen/>
        <w:t> 561,9;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7)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 xml:space="preserve"> 153,0;</w:t>
      </w:r>
    </w:p>
    <w:p w:rsidR="00C83906" w:rsidRPr="008B46BE" w:rsidRDefault="00C83906" w:rsidP="00C83906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8)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доля </w:t>
      </w:r>
      <w:proofErr w:type="gramStart"/>
      <w:r w:rsidRPr="008B46BE">
        <w:rPr>
          <w:rFonts w:eastAsia="Calibri"/>
          <w:szCs w:val="28"/>
          <w:lang w:eastAsia="en-US"/>
        </w:rPr>
        <w:t>умерших</w:t>
      </w:r>
      <w:proofErr w:type="gramEnd"/>
      <w:r w:rsidRPr="008B46BE">
        <w:rPr>
          <w:rFonts w:eastAsia="Calibri"/>
          <w:szCs w:val="28"/>
          <w:lang w:eastAsia="en-US"/>
        </w:rPr>
        <w:t xml:space="preserve"> в трудоспособном возрасте на дому в общем количестве умерших в трудоспособном возрасте – 21%;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9)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материнская смертность (на 100 тыс. </w:t>
      </w:r>
      <w:proofErr w:type="gramStart"/>
      <w:r w:rsidRPr="008B46BE">
        <w:rPr>
          <w:rFonts w:eastAsia="Calibri"/>
          <w:szCs w:val="28"/>
          <w:lang w:eastAsia="en-US"/>
        </w:rPr>
        <w:t>родившихся</w:t>
      </w:r>
      <w:proofErr w:type="gramEnd"/>
      <w:r w:rsidRPr="008B46BE">
        <w:rPr>
          <w:rFonts w:eastAsia="Calibri"/>
          <w:szCs w:val="28"/>
          <w:lang w:eastAsia="en-US"/>
        </w:rPr>
        <w:t xml:space="preserve"> живыми) – 15,9;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10)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младенческая смертность (на 1000 </w:t>
      </w:r>
      <w:proofErr w:type="gramStart"/>
      <w:r w:rsidRPr="008B46BE">
        <w:rPr>
          <w:rFonts w:eastAsia="Calibri"/>
          <w:szCs w:val="28"/>
          <w:lang w:eastAsia="en-US"/>
        </w:rPr>
        <w:t>родившихся</w:t>
      </w:r>
      <w:proofErr w:type="gramEnd"/>
      <w:r w:rsidRPr="008B46BE">
        <w:rPr>
          <w:rFonts w:eastAsia="Calibri"/>
          <w:szCs w:val="28"/>
          <w:lang w:eastAsia="en-US"/>
        </w:rPr>
        <w:t xml:space="preserve"> живыми, в том числе в городской и сельской местности) 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 xml:space="preserve"> 8,1;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11)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доля </w:t>
      </w:r>
      <w:proofErr w:type="gramStart"/>
      <w:r w:rsidRPr="008B46BE">
        <w:rPr>
          <w:rFonts w:eastAsia="Calibri"/>
          <w:szCs w:val="28"/>
          <w:lang w:eastAsia="en-US"/>
        </w:rPr>
        <w:t>умерших</w:t>
      </w:r>
      <w:proofErr w:type="gramEnd"/>
      <w:r w:rsidRPr="008B46BE">
        <w:rPr>
          <w:rFonts w:eastAsia="Calibri"/>
          <w:szCs w:val="28"/>
          <w:lang w:eastAsia="en-US"/>
        </w:rPr>
        <w:t xml:space="preserve"> в возрасте до 1 года на дому в общем количестве умерших в возрасте до 1 года – 12,5%;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12)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смертность детей в возрасте 0 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 xml:space="preserve"> 4 лет (на 100 тыс. человек населения соответствующего возраста) 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 xml:space="preserve"> 205,0;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13)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доля умерших в возрасте 0 – 4 лет на дому в общем количестве умерших в возрасте 0 – 4 лет – 12,5%;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14)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смертность детей в возрасте 0 </w:t>
      </w:r>
      <w:r w:rsidRPr="008B46BE">
        <w:rPr>
          <w:rFonts w:ascii="Calibri" w:eastAsia="Calibri" w:hAnsi="Calibri"/>
          <w:sz w:val="22"/>
          <w:szCs w:val="22"/>
          <w:lang w:eastAsia="en-US"/>
        </w:rPr>
        <w:t>–</w:t>
      </w:r>
      <w:r w:rsidRPr="008B46BE">
        <w:rPr>
          <w:rFonts w:eastAsia="Calibri"/>
          <w:szCs w:val="28"/>
          <w:lang w:eastAsia="en-US"/>
        </w:rPr>
        <w:t xml:space="preserve"> 17 лет (на 100 тыс. человек населения соответствующего возраста) – 97,0;</w:t>
      </w:r>
    </w:p>
    <w:p w:rsidR="00C83906" w:rsidRPr="008B46BE" w:rsidRDefault="00C83906" w:rsidP="00C83906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15)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доля умерших в возрасте 0 – 17 лет на дому в общем количестве умерших в возрасте 0 – 17 лет – 16,5%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16)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– 47,2%;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17)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 xml:space="preserve">обеспеченность населения врачами (на 10 тыс. человек населения, включая городское и сельское население), в том числе оказывающими </w:t>
      </w:r>
      <w:r w:rsidRPr="008B46BE">
        <w:rPr>
          <w:rFonts w:eastAsia="Calibri"/>
          <w:szCs w:val="28"/>
          <w:lang w:eastAsia="en-US"/>
        </w:rPr>
        <w:lastRenderedPageBreak/>
        <w:t>медицинскую помощь в амбулаторных и стационарных условиях, – 41,4;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18)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 – 101,43;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19)</w:t>
      </w:r>
      <w:r w:rsidRPr="008B46BE">
        <w:rPr>
          <w:rFonts w:eastAsia="Calibri"/>
          <w:szCs w:val="28"/>
          <w:lang w:val="en-US" w:eastAsia="en-US"/>
        </w:rPr>
        <w:t> </w:t>
      </w:r>
      <w:r w:rsidRPr="008B46BE">
        <w:rPr>
          <w:rFonts w:eastAsia="Calibri"/>
          <w:szCs w:val="28"/>
          <w:lang w:eastAsia="en-US"/>
        </w:rPr>
        <w:t>средняя длительность лечения в медицинских организациях, оказывающих медицинскую помощь в стационарных условиях (в среднем по Новосибирской области), – 11,7 дня;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20) 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должности), – 3505;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21) эффективность деятельности медицинских организаций, в том числе расположенных в городской и сельской местности (на основе показателей рационального и целевого использования коечного фонда), – 329;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22) доля расходов на оказание медицинской помощи в условиях дневных стационаров в общих расходах на Программу – 6,2%;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23) доля расходов на оказание медицинской помощи в амбулаторных условиях в неотложной форме в общих расходах на Программу – 2,0%;</w:t>
      </w:r>
    </w:p>
    <w:p w:rsidR="00C83906" w:rsidRPr="008B46BE" w:rsidRDefault="00C83906" w:rsidP="00C83906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24) доля впервые выявленных случаев туберкулеза в ранней стадии в общем количестве случаев выявленного туберкулеза в течение года – 90,2%;</w:t>
      </w:r>
    </w:p>
    <w:p w:rsidR="00C83906" w:rsidRPr="008B46BE" w:rsidRDefault="00C83906" w:rsidP="00C83906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25) 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51,2%;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26) доля расходов на оказание паллиативной медицинской помощи в общих расходах на Программу – 0,09%;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27) 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 - 51,0%;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28) полнота охвата профилактическими медицинскими осмотрами детей, в том числе проживающих в городской и сельской местности, – не менее 70% от общего числа детей соответствующего возраста, подлежащих профилактическим осмотрам;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29) 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6,06%;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30) число лиц, проживающих в сельской местности, которым оказана скорая медицинская помощь, на 1000 человек сельского населения – 226,0;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31) доля </w:t>
      </w:r>
      <w:proofErr w:type="spellStart"/>
      <w:r w:rsidRPr="008B46BE">
        <w:rPr>
          <w:rFonts w:eastAsia="Calibri"/>
          <w:szCs w:val="28"/>
          <w:lang w:eastAsia="en-US"/>
        </w:rPr>
        <w:t>фельдшерско</w:t>
      </w:r>
      <w:proofErr w:type="spellEnd"/>
      <w:r w:rsidRPr="008B46BE">
        <w:rPr>
          <w:rFonts w:eastAsia="Calibri"/>
          <w:szCs w:val="28"/>
          <w:lang w:eastAsia="en-US"/>
        </w:rPr>
        <w:t xml:space="preserve">–акушерских пунктов и фельдшерских пунктов, находящихся в аварийном состоянии и требующих капитального ремонта, в общем количестве </w:t>
      </w:r>
      <w:proofErr w:type="spellStart"/>
      <w:r w:rsidRPr="008B46BE">
        <w:rPr>
          <w:rFonts w:eastAsia="Calibri"/>
          <w:szCs w:val="28"/>
          <w:lang w:eastAsia="en-US"/>
        </w:rPr>
        <w:t>фельдшерско</w:t>
      </w:r>
      <w:proofErr w:type="spellEnd"/>
      <w:r w:rsidRPr="008B46BE">
        <w:rPr>
          <w:rFonts w:eastAsia="Calibri"/>
          <w:szCs w:val="28"/>
          <w:lang w:eastAsia="en-US"/>
        </w:rPr>
        <w:t>–акушерских пунктов и фельдшерских пунктов – 24,6%;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lastRenderedPageBreak/>
        <w:t xml:space="preserve">32) доля выездов бригад скорой медицинской помощи со временем </w:t>
      </w:r>
      <w:proofErr w:type="spellStart"/>
      <w:r w:rsidRPr="008B46BE">
        <w:rPr>
          <w:rFonts w:eastAsia="Calibri"/>
          <w:szCs w:val="28"/>
          <w:lang w:eastAsia="en-US"/>
        </w:rPr>
        <w:t>доезда</w:t>
      </w:r>
      <w:proofErr w:type="spellEnd"/>
      <w:r w:rsidRPr="008B46BE">
        <w:rPr>
          <w:rFonts w:eastAsia="Calibri"/>
          <w:szCs w:val="28"/>
          <w:lang w:eastAsia="en-US"/>
        </w:rPr>
        <w:t xml:space="preserve"> до пациента менее 20 минут с момента вызова в общем количестве вызовов – 85,6%;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33) доля пациентов с инфарктом миокарда, госпитализированных </w:t>
      </w:r>
      <w:proofErr w:type="gramStart"/>
      <w:r w:rsidRPr="008B46BE">
        <w:rPr>
          <w:rFonts w:eastAsia="Calibri"/>
          <w:szCs w:val="28"/>
          <w:lang w:eastAsia="en-US"/>
        </w:rPr>
        <w:t>в первые</w:t>
      </w:r>
      <w:proofErr w:type="gramEnd"/>
      <w:r w:rsidRPr="008B46BE">
        <w:rPr>
          <w:rFonts w:eastAsia="Calibri"/>
          <w:szCs w:val="28"/>
          <w:lang w:eastAsia="en-US"/>
        </w:rPr>
        <w:t xml:space="preserve"> 6 часов от начала заболевания, в общем количестве госпитализированных пациентов с инфарктом миокарда – 20%;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34) доля пациентов с острым инфарктом миокарда, которым проведена </w:t>
      </w:r>
      <w:proofErr w:type="spellStart"/>
      <w:r w:rsidRPr="008B46BE">
        <w:rPr>
          <w:rFonts w:eastAsia="Calibri"/>
          <w:szCs w:val="28"/>
          <w:lang w:eastAsia="en-US"/>
        </w:rPr>
        <w:t>тромболитическая</w:t>
      </w:r>
      <w:proofErr w:type="spellEnd"/>
      <w:r w:rsidRPr="008B46BE">
        <w:rPr>
          <w:rFonts w:eastAsia="Calibri"/>
          <w:szCs w:val="28"/>
          <w:lang w:eastAsia="en-US"/>
        </w:rPr>
        <w:t xml:space="preserve"> терапия, в общем количестве пациентов с острым инфарктом миокарда – 18,7%;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35) доля пациентов с острым инфарктом миокарда, которым проведено </w:t>
      </w:r>
      <w:proofErr w:type="spellStart"/>
      <w:r w:rsidRPr="008B46BE">
        <w:rPr>
          <w:rFonts w:eastAsia="Calibri"/>
          <w:szCs w:val="28"/>
          <w:lang w:eastAsia="en-US"/>
        </w:rPr>
        <w:t>стентирование</w:t>
      </w:r>
      <w:proofErr w:type="spellEnd"/>
      <w:r w:rsidRPr="008B46BE">
        <w:rPr>
          <w:rFonts w:eastAsia="Calibri"/>
          <w:szCs w:val="28"/>
          <w:lang w:eastAsia="en-US"/>
        </w:rPr>
        <w:t xml:space="preserve"> коронарных артерий, в общем количестве пациентов с острым инфарктом миокарда – 32,0%;</w:t>
      </w:r>
    </w:p>
    <w:p w:rsidR="00C83906" w:rsidRPr="008B46BE" w:rsidRDefault="00C83906" w:rsidP="00C83906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36) количество проведенных выездной бригадой скорой медицинской помощи </w:t>
      </w:r>
      <w:proofErr w:type="spellStart"/>
      <w:r w:rsidRPr="008B46BE">
        <w:rPr>
          <w:rFonts w:eastAsia="Calibri"/>
          <w:szCs w:val="28"/>
          <w:lang w:eastAsia="en-US"/>
        </w:rPr>
        <w:t>тромболизисов</w:t>
      </w:r>
      <w:proofErr w:type="spellEnd"/>
      <w:r w:rsidRPr="008B46BE">
        <w:rPr>
          <w:rFonts w:eastAsia="Calibri"/>
          <w:szCs w:val="28"/>
          <w:lang w:eastAsia="en-US"/>
        </w:rPr>
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 – 6,9%;;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37) доля пациентов с острыми цереброваскулярными болезнями, госпитализированных </w:t>
      </w:r>
      <w:proofErr w:type="gramStart"/>
      <w:r w:rsidRPr="008B46BE">
        <w:rPr>
          <w:rFonts w:eastAsia="Calibri"/>
          <w:szCs w:val="28"/>
          <w:lang w:eastAsia="en-US"/>
        </w:rPr>
        <w:t>в первые</w:t>
      </w:r>
      <w:proofErr w:type="gramEnd"/>
      <w:r w:rsidRPr="008B46BE">
        <w:rPr>
          <w:rFonts w:eastAsia="Calibri"/>
          <w:szCs w:val="28"/>
          <w:lang w:eastAsia="en-US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– 31%;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38) доля пациентов с острым ишемическим инсультом, которым проведена </w:t>
      </w:r>
      <w:proofErr w:type="spellStart"/>
      <w:r w:rsidRPr="008B46BE">
        <w:rPr>
          <w:rFonts w:eastAsia="Calibri"/>
          <w:szCs w:val="28"/>
          <w:lang w:eastAsia="en-US"/>
        </w:rPr>
        <w:t>тромболитическая</w:t>
      </w:r>
      <w:proofErr w:type="spellEnd"/>
      <w:r w:rsidRPr="008B46BE">
        <w:rPr>
          <w:rFonts w:eastAsia="Calibri"/>
          <w:szCs w:val="28"/>
          <w:lang w:eastAsia="en-US"/>
        </w:rPr>
        <w:t xml:space="preserve"> терапия </w:t>
      </w:r>
      <w:proofErr w:type="gramStart"/>
      <w:r w:rsidRPr="008B46BE">
        <w:rPr>
          <w:rFonts w:eastAsia="Calibri"/>
          <w:szCs w:val="28"/>
          <w:lang w:eastAsia="en-US"/>
        </w:rPr>
        <w:t>в первые</w:t>
      </w:r>
      <w:proofErr w:type="gramEnd"/>
      <w:r w:rsidRPr="008B46BE">
        <w:rPr>
          <w:rFonts w:eastAsia="Calibri"/>
          <w:szCs w:val="28"/>
          <w:lang w:eastAsia="en-US"/>
        </w:rPr>
        <w:t xml:space="preserve"> 6 часов госпитализации, в общем количестве пациентов с острым ишемическим инсультом – 0,3%;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39) количество обоснованных жалоб, в том числе на отказ в оказании медицинской помощи, предоставляемой в рамках Программы, – 61.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Целевые значения критериев доступности медицинской помощи, оказываемой в рамках Программы федеральными медицинскими организациями:</w:t>
      </w:r>
    </w:p>
    <w:p w:rsidR="00C83906" w:rsidRPr="008B46BE" w:rsidRDefault="00C83906" w:rsidP="00C8390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доля объема специализированной, в том числе высокотехнологичной, медицинской помощи, оказанной гражданам, проживающим за пределами Новосибирской области, в общем объеме медицинской помощи, оказанной этой медицинской организацией, – 50,0%;</w:t>
      </w:r>
    </w:p>
    <w:p w:rsidR="00C83906" w:rsidRPr="008B46BE" w:rsidRDefault="00C83906" w:rsidP="00C83906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– 20,0%.</w:t>
      </w:r>
    </w:p>
    <w:p w:rsidR="00FB294E" w:rsidRDefault="00906C4F"/>
    <w:sectPr w:rsidR="00F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F"/>
    <w:rsid w:val="003128CF"/>
    <w:rsid w:val="003157E1"/>
    <w:rsid w:val="00617FC5"/>
    <w:rsid w:val="00906C4F"/>
    <w:rsid w:val="00C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6078</Characters>
  <Application>Microsoft Office Word</Application>
  <DocSecurity>0</DocSecurity>
  <Lines>50</Lines>
  <Paragraphs>14</Paragraphs>
  <ScaleCrop>false</ScaleCrop>
  <Company>ROSNO-MS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3</cp:revision>
  <dcterms:created xsi:type="dcterms:W3CDTF">2016-03-09T05:09:00Z</dcterms:created>
  <dcterms:modified xsi:type="dcterms:W3CDTF">2016-03-09T06:32:00Z</dcterms:modified>
</cp:coreProperties>
</file>